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 w:val="0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11–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xxxx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/2012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ПРВИ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ОСНОВНИ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СУД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БЕОГРАДУ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                                                            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веће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ПОВЕРИЛАЦ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РАДИОДИФУЗНА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УСТАНОВА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РАДИО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ab/>
        <w:tab/>
        <w:tab/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ТЕЛЕВИЗИЈЕ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СРБИЈЕ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Београд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Таковска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.10,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ab/>
        <w:tab/>
        <w:tab/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матични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број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: 17644661,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ПИБ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: 104397527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ДУЖНИК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: </w:t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Београда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ab/>
        <w:tab/>
        <w:tab/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бр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чији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пуномоћник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пуномоћју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прилогу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примерка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,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приложеним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пуномоћјем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Решења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извршењу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Првог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основног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Београду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11–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Ив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xxxx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/2012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17.08.2012.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дужник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улаже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Р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усвоји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овај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приговор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дужника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одбаци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поднети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као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неуредан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непотпун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доставити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парничном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даљи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поступак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е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свега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дужник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има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примедби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садржину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докумета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који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стране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прихваћен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овом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предмету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као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веродостојна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исправа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поверилац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поднео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предметни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извршење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веродостојне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исправе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пословне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евиденције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01.01.2011.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31.12.2012.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које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поднет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предметни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представља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финансиску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картицу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дужника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РТВ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претплате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као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такав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складу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извршењу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обезбеђењу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представља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прописану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форму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веродостојне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исправе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истог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може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спроводити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поступак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веродостојне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исправе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дужник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приговара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садржину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приложеног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Извода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пословне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евиденције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01.01.2011.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31.12.2012.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наведеном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Изводу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једној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ставки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помиње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тужби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датум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30.11.2011.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као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судски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трошкови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Уколико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већ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покренутом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поступку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тужби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односу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потраживање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указујемо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испуњеност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услова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приговор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литиспенденције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који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дужан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пази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службеној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дужности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супротном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уколико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постоји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покренут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поступак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тужби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сматрамо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ове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ставке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неосноване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јер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исте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нису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могле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настати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подношења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овог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плаћања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судских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трошкова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налога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суда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дужник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истиче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 w:val="0"/>
        </w:rPr>
        <w:t>приговор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 w:val="0"/>
        </w:rPr>
        <w:t>застарелости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 w:val="0"/>
        </w:rPr>
        <w:t>потраживања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поверилац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поднео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наплате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потраживања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према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дужнику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који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настао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појединачним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месечним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износима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периоду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01.11.2005.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30.11.2011.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Како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постављени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захтев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предлогу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извршење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ствари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збирно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одређен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који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доспевао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појединачним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месечним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износима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складу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чланом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378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тачка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облигационим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односима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наступила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застара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утужено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потраживање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складу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чланом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83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став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радиодифузији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извршни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поверилац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дужан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искаже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наведено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потраживање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рачуна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који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издају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месечном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нивоу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као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такви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доспевају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најкасније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15-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месецу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претходни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месец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Београду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27.09.2012.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године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пуномоћник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тужиоца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sectPr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Calibri" w:eastAsia="Calibri" w:hAnsi="Calibri" w:cs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240" w:after="6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after="6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